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A6C5" w14:textId="2BF1DACB" w:rsidR="003E2A0E" w:rsidRPr="002F1F1B" w:rsidRDefault="00B10CF6">
      <w:pPr>
        <w:spacing w:after="120"/>
        <w:rPr>
          <w:b/>
          <w:sz w:val="36"/>
          <w:szCs w:val="36"/>
        </w:rPr>
      </w:pPr>
      <w:r w:rsidRPr="002F1F1B">
        <w:rPr>
          <w:b/>
          <w:sz w:val="36"/>
          <w:szCs w:val="36"/>
        </w:rPr>
        <w:t>D</w:t>
      </w:r>
      <w:r w:rsidR="005727BB" w:rsidRPr="002F1F1B">
        <w:rPr>
          <w:b/>
          <w:sz w:val="36"/>
          <w:szCs w:val="36"/>
        </w:rPr>
        <w:t>oppelt so viele Männer</w:t>
      </w:r>
      <w:r w:rsidR="0072762B" w:rsidRPr="002F1F1B">
        <w:rPr>
          <w:b/>
          <w:sz w:val="36"/>
          <w:szCs w:val="36"/>
        </w:rPr>
        <w:t>*</w:t>
      </w:r>
      <w:r w:rsidR="005727BB" w:rsidRPr="002F1F1B">
        <w:rPr>
          <w:b/>
          <w:sz w:val="36"/>
          <w:szCs w:val="36"/>
        </w:rPr>
        <w:t xml:space="preserve"> </w:t>
      </w:r>
      <w:r w:rsidRPr="002F1F1B">
        <w:rPr>
          <w:b/>
          <w:sz w:val="36"/>
          <w:szCs w:val="36"/>
        </w:rPr>
        <w:t xml:space="preserve">hätten </w:t>
      </w:r>
      <w:r w:rsidR="00796578">
        <w:rPr>
          <w:b/>
          <w:sz w:val="36"/>
          <w:szCs w:val="36"/>
        </w:rPr>
        <w:t xml:space="preserve">2021 </w:t>
      </w:r>
      <w:r w:rsidR="005727BB" w:rsidRPr="002F1F1B">
        <w:rPr>
          <w:b/>
          <w:sz w:val="36"/>
          <w:szCs w:val="36"/>
        </w:rPr>
        <w:t>Zuflucht vor häuslicher Gewalt finden können</w:t>
      </w:r>
    </w:p>
    <w:p w14:paraId="381AA124" w14:textId="6DCEA5B3" w:rsidR="002F1F1B" w:rsidRPr="002F1F1B" w:rsidRDefault="005727BB">
      <w:pPr>
        <w:spacing w:after="120"/>
        <w:rPr>
          <w:bCs/>
          <w:sz w:val="28"/>
          <w:szCs w:val="28"/>
        </w:rPr>
      </w:pPr>
      <w:r w:rsidRPr="002F1F1B">
        <w:rPr>
          <w:bCs/>
          <w:sz w:val="28"/>
          <w:szCs w:val="28"/>
        </w:rPr>
        <w:t xml:space="preserve">Die erste offizielle Statistik zur Nutzung </w:t>
      </w:r>
      <w:proofErr w:type="gramStart"/>
      <w:r w:rsidRPr="002F1F1B">
        <w:rPr>
          <w:bCs/>
          <w:sz w:val="28"/>
          <w:szCs w:val="28"/>
        </w:rPr>
        <w:t>von Männer</w:t>
      </w:r>
      <w:proofErr w:type="gramEnd"/>
      <w:r w:rsidR="0072762B" w:rsidRPr="002F1F1B">
        <w:rPr>
          <w:bCs/>
          <w:sz w:val="28"/>
          <w:szCs w:val="28"/>
        </w:rPr>
        <w:t>*</w:t>
      </w:r>
      <w:proofErr w:type="spellStart"/>
      <w:r w:rsidRPr="002F1F1B">
        <w:rPr>
          <w:bCs/>
          <w:sz w:val="28"/>
          <w:szCs w:val="28"/>
        </w:rPr>
        <w:t>schutzeinrichtungen</w:t>
      </w:r>
      <w:proofErr w:type="spellEnd"/>
      <w:r w:rsidRPr="002F1F1B">
        <w:rPr>
          <w:bCs/>
          <w:sz w:val="28"/>
          <w:szCs w:val="28"/>
        </w:rPr>
        <w:t xml:space="preserve"> </w:t>
      </w:r>
      <w:r w:rsidR="0072762B" w:rsidRPr="002F1F1B">
        <w:rPr>
          <w:bCs/>
          <w:sz w:val="28"/>
          <w:szCs w:val="28"/>
        </w:rPr>
        <w:t xml:space="preserve">(MSE) </w:t>
      </w:r>
      <w:r w:rsidRPr="002F1F1B">
        <w:rPr>
          <w:bCs/>
          <w:sz w:val="28"/>
          <w:szCs w:val="28"/>
        </w:rPr>
        <w:t>in Deutschland</w:t>
      </w:r>
      <w:r w:rsidR="00383235">
        <w:rPr>
          <w:bCs/>
          <w:sz w:val="28"/>
          <w:szCs w:val="28"/>
        </w:rPr>
        <w:t xml:space="preserve"> liegt vor. Sie</w:t>
      </w:r>
      <w:r w:rsidRPr="002F1F1B">
        <w:rPr>
          <w:bCs/>
          <w:sz w:val="28"/>
          <w:szCs w:val="28"/>
        </w:rPr>
        <w:t xml:space="preserve"> </w:t>
      </w:r>
      <w:r w:rsidR="00383235">
        <w:rPr>
          <w:bCs/>
          <w:sz w:val="28"/>
          <w:szCs w:val="28"/>
        </w:rPr>
        <w:t>legt auch Missstände in der Hilfelandschaft für von häuslicher Gewalt betroffene Männer</w:t>
      </w:r>
      <w:r w:rsidR="00294E13">
        <w:rPr>
          <w:bCs/>
          <w:sz w:val="28"/>
          <w:szCs w:val="28"/>
        </w:rPr>
        <w:t>*</w:t>
      </w:r>
      <w:r w:rsidR="00383235">
        <w:rPr>
          <w:bCs/>
          <w:sz w:val="28"/>
          <w:szCs w:val="28"/>
        </w:rPr>
        <w:t xml:space="preserve"> offen</w:t>
      </w:r>
      <w:r w:rsidR="00983FF6" w:rsidRPr="002F1F1B">
        <w:rPr>
          <w:bCs/>
          <w:sz w:val="28"/>
          <w:szCs w:val="28"/>
        </w:rPr>
        <w:t>.</w:t>
      </w:r>
    </w:p>
    <w:p w14:paraId="3D5872D6" w14:textId="2BB7C4D5" w:rsidR="006F40BF" w:rsidRPr="00A455FD" w:rsidRDefault="006F40BF" w:rsidP="006F40BF">
      <w:r>
        <w:t xml:space="preserve">Die </w:t>
      </w:r>
      <w:r w:rsidR="007705F5">
        <w:t xml:space="preserve">Statistik ist eine </w:t>
      </w:r>
      <w:r w:rsidR="002D4A97">
        <w:t>Veröffentlichung</w:t>
      </w:r>
      <w:r>
        <w:t xml:space="preserve"> der </w:t>
      </w:r>
      <w:r w:rsidR="00811E92">
        <w:rPr>
          <w:bCs/>
        </w:rPr>
        <w:t>Bundesfach- und Koordinierungsstelle Männergewaltschutz (</w:t>
      </w:r>
      <w:r>
        <w:t>BFKM</w:t>
      </w:r>
      <w:r w:rsidR="00811E92">
        <w:t>)</w:t>
      </w:r>
      <w:r w:rsidR="007705F5">
        <w:t>. Sie</w:t>
      </w:r>
      <w:r>
        <w:t xml:space="preserve"> basiert auf einer Befragung der Träger von Schutzwohnungen </w:t>
      </w:r>
      <w:r w:rsidR="007705F5">
        <w:t>für betroffene Männer</w:t>
      </w:r>
      <w:r w:rsidR="00294E13">
        <w:t>*</w:t>
      </w:r>
      <w:r w:rsidR="007705F5">
        <w:t xml:space="preserve"> </w:t>
      </w:r>
      <w:r>
        <w:t>in Deutschland. Im Jahr 2021 registrierten die bestehenden neun Schutzwohnungen demnach 251 Rat und Hilfe suchende Männer</w:t>
      </w:r>
      <w:r w:rsidR="00811E92">
        <w:t>*</w:t>
      </w:r>
      <w:r>
        <w:t xml:space="preserve">. Die </w:t>
      </w:r>
      <w:r w:rsidR="007705F5">
        <w:t xml:space="preserve">vorgelegte </w:t>
      </w:r>
      <w:r>
        <w:t>Statistik geht näher auf die 80 Betroffenen ein, die in Verbindung mit einem Beratungsprozess Zuflucht fanden</w:t>
      </w:r>
      <w:r w:rsidR="00383235">
        <w:t xml:space="preserve">. Auch </w:t>
      </w:r>
      <w:r w:rsidR="002D4A97">
        <w:t xml:space="preserve">auf </w:t>
      </w:r>
      <w:r w:rsidR="00383235">
        <w:t xml:space="preserve">den Arbeitsbedingungen </w:t>
      </w:r>
      <w:r w:rsidR="002D4A97">
        <w:t xml:space="preserve">des Personals </w:t>
      </w:r>
      <w:r w:rsidR="00383235">
        <w:t>in den Schutzwohnungen liegt ein Fokus</w:t>
      </w:r>
      <w:r>
        <w:t xml:space="preserve">. </w:t>
      </w:r>
    </w:p>
    <w:p w14:paraId="48A29FED" w14:textId="4406DC25" w:rsidR="00383235" w:rsidRDefault="009E20A2" w:rsidP="00383235">
      <w:r>
        <w:rPr>
          <w:bCs/>
        </w:rPr>
        <w:t>D</w:t>
      </w:r>
      <w:r w:rsidR="00791DE1" w:rsidRPr="002F1F1B">
        <w:rPr>
          <w:bCs/>
        </w:rPr>
        <w:t xml:space="preserve">er Bedarf an Schutzhausplätzen </w:t>
      </w:r>
      <w:r w:rsidR="00983FF6" w:rsidRPr="002F1F1B">
        <w:rPr>
          <w:bCs/>
        </w:rPr>
        <w:t xml:space="preserve">ist </w:t>
      </w:r>
      <w:r w:rsidR="00303DF1">
        <w:rPr>
          <w:bCs/>
        </w:rPr>
        <w:t>groß</w:t>
      </w:r>
      <w:r w:rsidR="00796578">
        <w:rPr>
          <w:bCs/>
        </w:rPr>
        <w:t xml:space="preserve">, </w:t>
      </w:r>
      <w:r w:rsidR="00C35B6D">
        <w:rPr>
          <w:bCs/>
        </w:rPr>
        <w:t xml:space="preserve">die Auslastung </w:t>
      </w:r>
      <w:r w:rsidR="00383235">
        <w:rPr>
          <w:bCs/>
        </w:rPr>
        <w:t xml:space="preserve">der MSE </w:t>
      </w:r>
      <w:r w:rsidR="00C35B6D">
        <w:rPr>
          <w:bCs/>
        </w:rPr>
        <w:t>betrug durchschnittlich 70</w:t>
      </w:r>
      <w:r w:rsidR="003A4A27">
        <w:rPr>
          <w:bCs/>
        </w:rPr>
        <w:t> </w:t>
      </w:r>
      <w:r w:rsidR="00C35B6D">
        <w:rPr>
          <w:bCs/>
        </w:rPr>
        <w:t>Prozent</w:t>
      </w:r>
      <w:r w:rsidR="006D09E9">
        <w:rPr>
          <w:bCs/>
        </w:rPr>
        <w:t xml:space="preserve">. </w:t>
      </w:r>
      <w:r w:rsidR="00330AC1">
        <w:rPr>
          <w:bCs/>
        </w:rPr>
        <w:t xml:space="preserve">Leider </w:t>
      </w:r>
      <w:r w:rsidR="00C35B6D">
        <w:rPr>
          <w:bCs/>
        </w:rPr>
        <w:t>musste mehr</w:t>
      </w:r>
      <w:r w:rsidR="00C35B6D">
        <w:t xml:space="preserve"> als</w:t>
      </w:r>
      <w:r w:rsidR="003A4A27">
        <w:t xml:space="preserve"> </w:t>
      </w:r>
      <w:r w:rsidR="00784A91">
        <w:t xml:space="preserve">jeder </w:t>
      </w:r>
      <w:r w:rsidR="00C35B6D">
        <w:t>zweite betroffene Mann abgewiesen</w:t>
      </w:r>
      <w:r w:rsidR="003A4A27">
        <w:t xml:space="preserve"> werden</w:t>
      </w:r>
      <w:r w:rsidR="00C35B6D">
        <w:t xml:space="preserve">. Der Hauptgrund: Die Schutzwohnungen waren gerade dann voll </w:t>
      </w:r>
      <w:r w:rsidR="00294E13">
        <w:t>ausgelastet</w:t>
      </w:r>
      <w:r w:rsidR="00C35B6D">
        <w:t xml:space="preserve">, </w:t>
      </w:r>
      <w:r w:rsidR="003A4A27">
        <w:t xml:space="preserve">wenn </w:t>
      </w:r>
      <w:r w:rsidR="00C35B6D">
        <w:t xml:space="preserve">sie </w:t>
      </w:r>
      <w:r w:rsidR="00383235">
        <w:t xml:space="preserve">für die Verhinderung weiterer Gewalt </w:t>
      </w:r>
      <w:r w:rsidR="00C35B6D">
        <w:t>gebraucht wurden.</w:t>
      </w:r>
      <w:r w:rsidR="00383235">
        <w:t xml:space="preserve"> </w:t>
      </w:r>
      <w:r w:rsidR="00383235">
        <w:rPr>
          <w:color w:val="000000" w:themeColor="text1"/>
        </w:rPr>
        <w:t xml:space="preserve">Zudem </w:t>
      </w:r>
      <w:r w:rsidR="007705F5">
        <w:rPr>
          <w:color w:val="000000" w:themeColor="text1"/>
        </w:rPr>
        <w:t xml:space="preserve">legt die Trägerbefragung offen, dass </w:t>
      </w:r>
      <w:r w:rsidR="003A4A27">
        <w:rPr>
          <w:color w:val="000000" w:themeColor="text1"/>
        </w:rPr>
        <w:t xml:space="preserve">mit </w:t>
      </w:r>
      <w:r w:rsidR="00383235">
        <w:rPr>
          <w:color w:val="000000" w:themeColor="text1"/>
        </w:rPr>
        <w:t xml:space="preserve">der derzeit geförderten Stundenzahl von maximal einer vollen Stelle pro MSE ist eine </w:t>
      </w:r>
      <w:proofErr w:type="spellStart"/>
      <w:r w:rsidR="00383235">
        <w:rPr>
          <w:color w:val="000000" w:themeColor="text1"/>
        </w:rPr>
        <w:t>klienten</w:t>
      </w:r>
      <w:proofErr w:type="spellEnd"/>
      <w:r w:rsidR="00383235">
        <w:rPr>
          <w:color w:val="000000" w:themeColor="text1"/>
        </w:rPr>
        <w:t>*gerechte Betreuung nur mit ehrenamtlicher Mehrarbeit zu leisten</w:t>
      </w:r>
      <w:r w:rsidR="007705F5">
        <w:rPr>
          <w:color w:val="000000" w:themeColor="text1"/>
        </w:rPr>
        <w:t xml:space="preserve"> ist</w:t>
      </w:r>
      <w:r w:rsidR="00383235">
        <w:rPr>
          <w:color w:val="000000" w:themeColor="text1"/>
        </w:rPr>
        <w:t>.</w:t>
      </w:r>
    </w:p>
    <w:p w14:paraId="286E8845" w14:textId="1FB36A68" w:rsidR="00C35B6D" w:rsidRDefault="00C35B6D" w:rsidP="00C35B6D">
      <w:r w:rsidRPr="00E07EC9">
        <w:t xml:space="preserve">Eine kurzfristige Verdopplung beim weiteren Ausbau </w:t>
      </w:r>
      <w:r>
        <w:t>der Plätze in MSE und eine Erhöhung der in den Bundesländern festgelegten Betreuungsschlüssel sind</w:t>
      </w:r>
      <w:r w:rsidRPr="00E07EC9">
        <w:t xml:space="preserve"> daher mindestens angezeigt.</w:t>
      </w:r>
      <w:r>
        <w:t xml:space="preserve"> Die BFKM hält bis zu fünf MSE je Bundesland bis 2025</w:t>
      </w:r>
      <w:r w:rsidRPr="00983FF6">
        <w:t xml:space="preserve"> </w:t>
      </w:r>
      <w:r>
        <w:t xml:space="preserve">für notwendig, </w:t>
      </w:r>
      <w:r w:rsidR="004018CB">
        <w:t>jedoch differenziert</w:t>
      </w:r>
      <w:r>
        <w:t xml:space="preserve"> nach Einwohnerzahl und Flächenstruktur</w:t>
      </w:r>
      <w:r w:rsidR="004018CB">
        <w:t xml:space="preserve"> der einzelnen Länder</w:t>
      </w:r>
      <w:r>
        <w:t>.</w:t>
      </w:r>
    </w:p>
    <w:p w14:paraId="63E89C60" w14:textId="77777777" w:rsidR="00383235" w:rsidRPr="00383235" w:rsidRDefault="00383235" w:rsidP="00383235">
      <w:pPr>
        <w:spacing w:after="120"/>
        <w:rPr>
          <w:b/>
          <w:bCs/>
          <w:sz w:val="28"/>
          <w:szCs w:val="28"/>
        </w:rPr>
      </w:pPr>
      <w:r w:rsidRPr="00383235">
        <w:rPr>
          <w:b/>
          <w:bCs/>
          <w:sz w:val="28"/>
          <w:szCs w:val="28"/>
        </w:rPr>
        <w:t>Drei Details aus der Statistik</w:t>
      </w:r>
    </w:p>
    <w:p w14:paraId="3FDDFD40" w14:textId="77777777" w:rsidR="00784A91" w:rsidRDefault="007705F5" w:rsidP="00784A91">
      <w:pPr>
        <w:spacing w:after="120"/>
      </w:pPr>
      <w:r w:rsidRPr="007705F5">
        <w:rPr>
          <w:b/>
          <w:bCs/>
        </w:rPr>
        <w:t>Gründe für Nichteinzug.</w:t>
      </w:r>
      <w:r>
        <w:t xml:space="preserve"> </w:t>
      </w:r>
      <w:r w:rsidR="00C35B6D">
        <w:t xml:space="preserve">Das folgende Diagramm listet alle in Frage kommenden Gründe für Nichteinzüge </w:t>
      </w:r>
      <w:r w:rsidR="00784A91">
        <w:t xml:space="preserve">in Schutzwohnungen </w:t>
      </w:r>
      <w:r w:rsidR="00C35B6D">
        <w:t>nachweislich betroffener Männer*</w:t>
      </w:r>
      <w:r w:rsidR="00383235">
        <w:t xml:space="preserve"> auf</w:t>
      </w:r>
      <w:r w:rsidR="00C35B6D">
        <w:t>.</w:t>
      </w:r>
      <w:r w:rsidR="00784A91">
        <w:t xml:space="preserve"> Mehr Schutzhausplätze könnten Abhilfe schaffen.</w:t>
      </w:r>
    </w:p>
    <w:p w14:paraId="3E0273DA" w14:textId="36E30FB2" w:rsidR="00C35B6D" w:rsidRDefault="00C35B6D" w:rsidP="00784A91">
      <w:pPr>
        <w:spacing w:after="120"/>
      </w:pPr>
      <w:r>
        <w:rPr>
          <w:noProof/>
        </w:rPr>
        <w:drawing>
          <wp:inline distT="0" distB="0" distL="0" distR="0" wp14:anchorId="50A4C208" wp14:editId="5BB49DBF">
            <wp:extent cx="5705291" cy="2743200"/>
            <wp:effectExtent l="0" t="0" r="10160" b="0"/>
            <wp:docPr id="7" name="Diagramm 7">
              <a:extLst xmlns:a="http://schemas.openxmlformats.org/drawingml/2006/main">
                <a:ext uri="{FF2B5EF4-FFF2-40B4-BE49-F238E27FC236}">
                  <a16:creationId xmlns:a16="http://schemas.microsoft.com/office/drawing/2014/main" id="{4A2A7ACA-DBFD-DD60-CB12-5D5CA7613B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F234B48" w14:textId="77777777" w:rsidR="00C35B6D" w:rsidRDefault="00C35B6D" w:rsidP="00C35B6D">
      <w:pPr>
        <w:rPr>
          <w:sz w:val="18"/>
          <w:szCs w:val="18"/>
        </w:rPr>
      </w:pPr>
      <w:r w:rsidRPr="00120394">
        <w:rPr>
          <w:b/>
          <w:bCs/>
          <w:sz w:val="18"/>
          <w:szCs w:val="18"/>
        </w:rPr>
        <w:t>Abbildung 1:</w:t>
      </w:r>
      <w:r w:rsidRPr="002B61D3">
        <w:rPr>
          <w:sz w:val="18"/>
          <w:szCs w:val="18"/>
        </w:rPr>
        <w:t xml:space="preserve"> Gründe für den Nichteinzug in eine MSE trotz Betroffenheit von häuslicher Gewalt</w:t>
      </w:r>
    </w:p>
    <w:p w14:paraId="599CFACA" w14:textId="080C083D" w:rsidR="00C35B6D" w:rsidRDefault="00C35B6D" w:rsidP="006F40BF">
      <w:pPr>
        <w:rPr>
          <w:bCs/>
        </w:rPr>
      </w:pPr>
    </w:p>
    <w:p w14:paraId="52902E2C" w14:textId="05714AA4" w:rsidR="007705F5" w:rsidRDefault="007705F5" w:rsidP="007705F5">
      <w:pPr>
        <w:spacing w:after="120"/>
        <w:rPr>
          <w:bCs/>
        </w:rPr>
      </w:pPr>
      <w:r w:rsidRPr="007705F5">
        <w:rPr>
          <w:b/>
          <w:bCs/>
        </w:rPr>
        <w:lastRenderedPageBreak/>
        <w:t>Aufenthaltsdauer in den Schutzwoh</w:t>
      </w:r>
      <w:r>
        <w:rPr>
          <w:b/>
          <w:bCs/>
        </w:rPr>
        <w:t>n</w:t>
      </w:r>
      <w:r w:rsidRPr="007705F5">
        <w:rPr>
          <w:b/>
          <w:bCs/>
        </w:rPr>
        <w:t>ungen.</w:t>
      </w:r>
      <w:r>
        <w:t xml:space="preserve"> </w:t>
      </w:r>
      <w:r w:rsidRPr="00A145CA">
        <w:t>Für 49</w:t>
      </w:r>
      <w:r w:rsidR="00784A91">
        <w:t xml:space="preserve"> Prozent</w:t>
      </w:r>
      <w:r>
        <w:t xml:space="preserve">, also </w:t>
      </w:r>
      <w:r w:rsidRPr="00A145CA">
        <w:t>nahezu die Hälfte der Betroffenen war der vorgesehene Regelaufenthalt von drei Monaten nicht ausreichend, um neue Lebensperspektiven zu entwickeln.</w:t>
      </w:r>
      <w:r w:rsidR="00784A91">
        <w:t xml:space="preserve"> Mehr Schutzhausplätze könnten auch hier Abhilfe schaffen.</w:t>
      </w:r>
    </w:p>
    <w:p w14:paraId="00482821" w14:textId="7DF7E5C6" w:rsidR="007705F5" w:rsidRPr="00A145CA" w:rsidRDefault="0066344C" w:rsidP="007705F5">
      <w:r w:rsidRPr="00120394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426A0A1" wp14:editId="5634A5E4">
            <wp:simplePos x="0" y="0"/>
            <wp:positionH relativeFrom="column">
              <wp:posOffset>-3175</wp:posOffset>
            </wp:positionH>
            <wp:positionV relativeFrom="paragraph">
              <wp:posOffset>272415</wp:posOffset>
            </wp:positionV>
            <wp:extent cx="3916045" cy="2159000"/>
            <wp:effectExtent l="0" t="0" r="8255" b="12700"/>
            <wp:wrapSquare wrapText="bothSides"/>
            <wp:docPr id="25" name="Diagramm 25">
              <a:extLst xmlns:a="http://schemas.openxmlformats.org/drawingml/2006/main">
                <a:ext uri="{FF2B5EF4-FFF2-40B4-BE49-F238E27FC236}">
                  <a16:creationId xmlns:a16="http://schemas.microsoft.com/office/drawing/2014/main" id="{A34FEDBB-8151-27A6-2ED6-DDACA3DCAC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6B381ACE" w14:textId="5101889A" w:rsidR="007705F5" w:rsidRDefault="007705F5" w:rsidP="007705F5">
      <w:r w:rsidRPr="00120394">
        <w:rPr>
          <w:b/>
          <w:bCs/>
          <w:sz w:val="18"/>
          <w:szCs w:val="18"/>
        </w:rPr>
        <w:t xml:space="preserve">Abbildung </w:t>
      </w:r>
      <w:r w:rsidR="00D23494">
        <w:rPr>
          <w:b/>
          <w:bCs/>
          <w:sz w:val="18"/>
          <w:szCs w:val="18"/>
        </w:rPr>
        <w:t>2</w:t>
      </w:r>
      <w:r w:rsidRPr="00120394">
        <w:rPr>
          <w:b/>
          <w:bCs/>
          <w:sz w:val="18"/>
          <w:szCs w:val="18"/>
        </w:rPr>
        <w:t>:</w:t>
      </w:r>
      <w:r w:rsidRPr="002B61D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Anzahl und Verweildauer in den MSE </w:t>
      </w:r>
    </w:p>
    <w:p w14:paraId="6269401B" w14:textId="77777777" w:rsidR="007705F5" w:rsidRDefault="007705F5" w:rsidP="007705F5">
      <w:pPr>
        <w:spacing w:after="480"/>
      </w:pPr>
    </w:p>
    <w:p w14:paraId="7ACD29FD" w14:textId="77777777" w:rsidR="007705F5" w:rsidRDefault="007705F5" w:rsidP="007705F5">
      <w:pPr>
        <w:spacing w:after="480"/>
      </w:pPr>
    </w:p>
    <w:p w14:paraId="2BD0DB7A" w14:textId="77777777" w:rsidR="007705F5" w:rsidRDefault="007705F5" w:rsidP="007705F5">
      <w:pPr>
        <w:spacing w:after="480"/>
      </w:pPr>
    </w:p>
    <w:p w14:paraId="0680A7DF" w14:textId="77777777" w:rsidR="007705F5" w:rsidRDefault="007705F5" w:rsidP="007705F5">
      <w:pPr>
        <w:spacing w:after="480"/>
      </w:pPr>
    </w:p>
    <w:p w14:paraId="28BB03C8" w14:textId="7E0B7EC1" w:rsidR="00BC595E" w:rsidRDefault="007705F5" w:rsidP="0066344C">
      <w:pPr>
        <w:spacing w:after="480"/>
      </w:pPr>
      <w:r w:rsidRPr="007705F5">
        <w:rPr>
          <w:b/>
          <w:bCs/>
        </w:rPr>
        <w:t>Formen der widerfahrenen Gewalt.</w:t>
      </w:r>
      <w:r>
        <w:t xml:space="preserve"> </w:t>
      </w:r>
      <w:r w:rsidR="006F40BF">
        <w:t>Bei den Männern, die in die Schutzwohnungen einzogen, war p</w:t>
      </w:r>
      <w:r w:rsidR="00791DE1">
        <w:t xml:space="preserve">sychische Gewalt </w:t>
      </w:r>
      <w:r w:rsidR="006F40BF">
        <w:t>die</w:t>
      </w:r>
      <w:r w:rsidR="002B61D3">
        <w:t xml:space="preserve"> </w:t>
      </w:r>
      <w:r w:rsidR="00791DE1">
        <w:t>häufigste</w:t>
      </w:r>
      <w:r w:rsidR="002B61D3">
        <w:t xml:space="preserve"> </w:t>
      </w:r>
      <w:r w:rsidR="006F40BF">
        <w:t>Form der widerfahrenen Gewalt</w:t>
      </w:r>
      <w:r w:rsidR="0066344C">
        <w:t>,</w:t>
      </w:r>
      <w:r w:rsidR="0066344C" w:rsidRPr="0066344C">
        <w:t xml:space="preserve"> </w:t>
      </w:r>
      <w:r w:rsidR="0066344C">
        <w:t>wobei diese in der überwiegenden Mehrheit der Fälle im Kontext mit anderen Gewaltformen genannt wurde</w:t>
      </w:r>
      <w:r w:rsidR="00791DE1">
        <w:t>. Dabei handelt es sich</w:t>
      </w:r>
      <w:r w:rsidR="00383235">
        <w:t xml:space="preserve"> um</w:t>
      </w:r>
      <w:r w:rsidR="00791DE1">
        <w:t xml:space="preserve"> Beschimpfungen</w:t>
      </w:r>
      <w:r w:rsidR="0066344C">
        <w:t xml:space="preserve"> und</w:t>
      </w:r>
      <w:r w:rsidR="00470210">
        <w:t xml:space="preserve"> Herabwürdigungen.</w:t>
      </w:r>
      <w:r w:rsidR="00383235">
        <w:t xml:space="preserve"> Das folgende Diagramm listet auch physische, also körperl</w:t>
      </w:r>
      <w:r w:rsidR="00A6513A">
        <w:t>i</w:t>
      </w:r>
      <w:r w:rsidR="00383235">
        <w:t>che Gewalt</w:t>
      </w:r>
      <w:r>
        <w:t xml:space="preserve"> auf</w:t>
      </w:r>
      <w:r w:rsidR="00383235">
        <w:t xml:space="preserve">, </w:t>
      </w:r>
      <w:r>
        <w:t xml:space="preserve">ebenso </w:t>
      </w:r>
      <w:r w:rsidR="00383235">
        <w:t xml:space="preserve">ökonomische Gewalt, also etwa der Entzug von eigenem Geld und Lebensmitteln, sowie soziale Gewalt, die sich in </w:t>
      </w:r>
      <w:r w:rsidR="00A30A1E">
        <w:t>Isolation von Freunden* und Familie</w:t>
      </w:r>
      <w:r w:rsidR="00A6513A">
        <w:t xml:space="preserve"> äußert. Auch sexualisierte Gewalt kommt vor, </w:t>
      </w:r>
      <w:r w:rsidR="00A30A1E">
        <w:t>wurde aber vergleichsweise wenig thematisiert.</w:t>
      </w:r>
    </w:p>
    <w:p w14:paraId="41FD70AA" w14:textId="23B53148" w:rsidR="00BC595E" w:rsidRDefault="002B61D3" w:rsidP="00BC595E">
      <w:pPr>
        <w:rPr>
          <w:sz w:val="18"/>
          <w:szCs w:val="18"/>
        </w:rPr>
      </w:pPr>
      <w:r w:rsidRPr="0012039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CEC89E4" wp14:editId="27B2A8BE">
            <wp:simplePos x="0" y="0"/>
            <wp:positionH relativeFrom="column">
              <wp:posOffset>-1933</wp:posOffset>
            </wp:positionH>
            <wp:positionV relativeFrom="paragraph">
              <wp:posOffset>690</wp:posOffset>
            </wp:positionV>
            <wp:extent cx="3951799" cy="2162755"/>
            <wp:effectExtent l="0" t="0" r="10795" b="9525"/>
            <wp:wrapSquare wrapText="bothSides"/>
            <wp:docPr id="11" name="Diagramm 11">
              <a:extLst xmlns:a="http://schemas.openxmlformats.org/drawingml/2006/main">
                <a:ext uri="{FF2B5EF4-FFF2-40B4-BE49-F238E27FC236}">
                  <a16:creationId xmlns:a16="http://schemas.microsoft.com/office/drawing/2014/main" id="{8182423E-14FC-655E-71E1-4B32B84886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BC595E" w:rsidRPr="00120394">
        <w:rPr>
          <w:b/>
          <w:bCs/>
          <w:sz w:val="18"/>
          <w:szCs w:val="18"/>
        </w:rPr>
        <w:t xml:space="preserve">Abbildung </w:t>
      </w:r>
      <w:r w:rsidR="00D23494">
        <w:rPr>
          <w:b/>
          <w:bCs/>
          <w:sz w:val="18"/>
          <w:szCs w:val="18"/>
        </w:rPr>
        <w:t>3</w:t>
      </w:r>
      <w:r w:rsidR="00BC595E" w:rsidRPr="00120394">
        <w:rPr>
          <w:b/>
          <w:bCs/>
          <w:sz w:val="18"/>
          <w:szCs w:val="18"/>
        </w:rPr>
        <w:t>:</w:t>
      </w:r>
      <w:r w:rsidR="00BC595E" w:rsidRPr="002B61D3">
        <w:rPr>
          <w:sz w:val="18"/>
          <w:szCs w:val="18"/>
        </w:rPr>
        <w:t xml:space="preserve"> </w:t>
      </w:r>
      <w:r w:rsidR="00BC595E">
        <w:rPr>
          <w:sz w:val="18"/>
          <w:szCs w:val="18"/>
        </w:rPr>
        <w:t>Formen und Ausprägung der Gewalt, die betroffenen Männern</w:t>
      </w:r>
      <w:r w:rsidR="00FD21CE">
        <w:rPr>
          <w:sz w:val="18"/>
          <w:szCs w:val="18"/>
        </w:rPr>
        <w:t>*</w:t>
      </w:r>
      <w:r w:rsidR="00BC595E">
        <w:rPr>
          <w:sz w:val="18"/>
          <w:szCs w:val="18"/>
        </w:rPr>
        <w:t xml:space="preserve"> in MSE widerfahren sind</w:t>
      </w:r>
    </w:p>
    <w:p w14:paraId="33FC758D" w14:textId="2F70A9B0" w:rsidR="002B61D3" w:rsidRDefault="002B61D3" w:rsidP="00C871DD"/>
    <w:p w14:paraId="102AA347" w14:textId="4EC68234" w:rsidR="00BC595E" w:rsidRDefault="00BC595E" w:rsidP="00C871DD"/>
    <w:p w14:paraId="307DF390" w14:textId="6AF599A7" w:rsidR="00BC595E" w:rsidRDefault="00BC595E" w:rsidP="00C871DD"/>
    <w:p w14:paraId="6B147A4D" w14:textId="0BA4C5B3" w:rsidR="00BC595E" w:rsidRDefault="00BC595E" w:rsidP="00C871DD"/>
    <w:p w14:paraId="4B4122E4" w14:textId="1CE46DE1" w:rsidR="00BC595E" w:rsidRDefault="00BC595E" w:rsidP="00C871DD"/>
    <w:p w14:paraId="02581D8B" w14:textId="194E6D97" w:rsidR="00BC595E" w:rsidRDefault="00BC595E" w:rsidP="00C871DD"/>
    <w:p w14:paraId="3C73CD2B" w14:textId="66DE00B9" w:rsidR="00980FC9" w:rsidRDefault="00796578" w:rsidP="00C871DD">
      <w:r>
        <w:t xml:space="preserve">Weitere in der Statistik </w:t>
      </w:r>
      <w:r w:rsidR="00120394">
        <w:t>ausgewertete</w:t>
      </w:r>
      <w:r>
        <w:t xml:space="preserve"> </w:t>
      </w:r>
      <w:r w:rsidR="00294E13">
        <w:t xml:space="preserve">Aspekte </w:t>
      </w:r>
      <w:r w:rsidR="00784A91">
        <w:t>betreffen</w:t>
      </w:r>
      <w:r w:rsidR="00120394">
        <w:t xml:space="preserve"> etwa </w:t>
      </w:r>
      <w:r w:rsidR="00C35B6D" w:rsidRPr="00294E13">
        <w:rPr>
          <w:b/>
          <w:bCs/>
        </w:rPr>
        <w:t>Kinder in</w:t>
      </w:r>
      <w:r w:rsidR="00C35B6D">
        <w:t xml:space="preserve"> </w:t>
      </w:r>
      <w:r w:rsidR="00C35B6D" w:rsidRPr="000E7B56">
        <w:rPr>
          <w:b/>
          <w:bCs/>
        </w:rPr>
        <w:t>Männer</w:t>
      </w:r>
      <w:r w:rsidR="00120394" w:rsidRPr="000E7B56">
        <w:rPr>
          <w:b/>
          <w:bCs/>
        </w:rPr>
        <w:t>*</w:t>
      </w:r>
      <w:proofErr w:type="spellStart"/>
      <w:r w:rsidR="00C35B6D" w:rsidRPr="000E7B56">
        <w:rPr>
          <w:b/>
          <w:bCs/>
        </w:rPr>
        <w:t>schutz</w:t>
      </w:r>
      <w:r w:rsidR="00120394" w:rsidRPr="000E7B56">
        <w:rPr>
          <w:b/>
          <w:bCs/>
        </w:rPr>
        <w:t>e</w:t>
      </w:r>
      <w:r w:rsidR="00C35B6D" w:rsidRPr="000E7B56">
        <w:rPr>
          <w:b/>
          <w:bCs/>
        </w:rPr>
        <w:t>inrichtungen</w:t>
      </w:r>
      <w:proofErr w:type="spellEnd"/>
      <w:r w:rsidR="00C35B6D">
        <w:t xml:space="preserve">, </w:t>
      </w:r>
      <w:r w:rsidR="00C35B6D" w:rsidRPr="000E7B56">
        <w:rPr>
          <w:b/>
          <w:bCs/>
        </w:rPr>
        <w:t>Bildungshintergründe</w:t>
      </w:r>
      <w:r w:rsidR="00C35B6D">
        <w:t xml:space="preserve"> und </w:t>
      </w:r>
      <w:r w:rsidR="00C35B6D" w:rsidRPr="000E7B56">
        <w:rPr>
          <w:b/>
          <w:bCs/>
        </w:rPr>
        <w:t>Herkunft</w:t>
      </w:r>
      <w:r w:rsidR="00120394" w:rsidRPr="000E7B56">
        <w:rPr>
          <w:b/>
          <w:bCs/>
        </w:rPr>
        <w:t xml:space="preserve"> der Betroffenen</w:t>
      </w:r>
      <w:r w:rsidR="000E7B56">
        <w:rPr>
          <w:b/>
          <w:bCs/>
        </w:rPr>
        <w:t>.</w:t>
      </w:r>
    </w:p>
    <w:p w14:paraId="0C9E5D25" w14:textId="4156D3AB" w:rsidR="00F5616B" w:rsidRDefault="007240E5" w:rsidP="00145678">
      <w:r>
        <w:t xml:space="preserve">Die Statistik steht unter </w:t>
      </w:r>
      <w:hyperlink r:id="rId10" w:history="1">
        <w:r w:rsidR="00EE2BE9" w:rsidRPr="002A3163">
          <w:rPr>
            <w:rStyle w:val="Hyperlink"/>
          </w:rPr>
          <w:t>www.maennergewaltschutz.de/statistik-2021</w:t>
        </w:r>
      </w:hyperlink>
      <w:r w:rsidR="00EE2BE9">
        <w:t xml:space="preserve"> </w:t>
      </w:r>
      <w:r w:rsidR="00145678">
        <w:t>zum Download zur Verfügung. Bei</w:t>
      </w:r>
      <w:r w:rsidR="009476F1">
        <w:t xml:space="preserve"> Fragen </w:t>
      </w:r>
      <w:r w:rsidR="00145678">
        <w:t>wenden Sie sich bitte an</w:t>
      </w:r>
      <w:r w:rsidR="009476F1">
        <w:t>:</w:t>
      </w:r>
    </w:p>
    <w:p w14:paraId="7BC43646" w14:textId="77777777" w:rsidR="00E40BC5" w:rsidRDefault="00E40BC5" w:rsidP="00E40BC5">
      <w:pPr>
        <w:spacing w:after="0"/>
      </w:pPr>
      <w:r>
        <w:t>Enrico Damme, Fachreferent Presse- und Öffentlichkeitsarbeit</w:t>
      </w:r>
    </w:p>
    <w:p w14:paraId="31632899" w14:textId="77777777" w:rsidR="00E40BC5" w:rsidRDefault="00E40BC5" w:rsidP="00E40BC5">
      <w:pPr>
        <w:spacing w:after="0"/>
      </w:pPr>
      <w:r>
        <w:t>Erna-Berger-Str. 17, 01097 Dresden</w:t>
      </w:r>
    </w:p>
    <w:p w14:paraId="44193126" w14:textId="77777777" w:rsidR="00E40BC5" w:rsidRPr="00330AC1" w:rsidRDefault="00E40BC5" w:rsidP="00E40BC5">
      <w:pPr>
        <w:spacing w:after="0"/>
        <w:rPr>
          <w:lang w:val="en-US"/>
        </w:rPr>
      </w:pPr>
      <w:r w:rsidRPr="00330AC1">
        <w:rPr>
          <w:lang w:val="en-US"/>
        </w:rPr>
        <w:t>Tel.: 0351-27566887, Funk: 0176-63260831</w:t>
      </w:r>
    </w:p>
    <w:p w14:paraId="034A9248" w14:textId="44F90206" w:rsidR="00145678" w:rsidRDefault="00E40BC5" w:rsidP="00E40BC5">
      <w:pPr>
        <w:spacing w:after="120"/>
        <w:rPr>
          <w:rStyle w:val="Hyperlink"/>
          <w:lang w:val="en-US"/>
        </w:rPr>
      </w:pPr>
      <w:r>
        <w:rPr>
          <w:lang w:val="en-US"/>
        </w:rPr>
        <w:t>Mail:</w:t>
      </w:r>
      <w:r w:rsidRPr="00330AC1">
        <w:rPr>
          <w:lang w:val="en-US"/>
        </w:rPr>
        <w:t xml:space="preserve"> </w:t>
      </w:r>
      <w:hyperlink r:id="rId11" w:history="1">
        <w:r>
          <w:rPr>
            <w:rStyle w:val="Hyperlink"/>
            <w:lang w:val="en-US"/>
          </w:rPr>
          <w:t>enrico.damme@maennergewaltschutz.de</w:t>
        </w:r>
      </w:hyperlink>
    </w:p>
    <w:p w14:paraId="0E8C7D37" w14:textId="77777777" w:rsidR="00145678" w:rsidRPr="00330AC1" w:rsidRDefault="00145678" w:rsidP="00E40BC5">
      <w:pPr>
        <w:spacing w:after="120"/>
        <w:rPr>
          <w:lang w:val="en-US"/>
        </w:rPr>
      </w:pPr>
    </w:p>
    <w:sectPr w:rsidR="00145678" w:rsidRPr="00330AC1">
      <w:headerReference w:type="default" r:id="rId12"/>
      <w:footerReference w:type="default" r:id="rId13"/>
      <w:pgSz w:w="11906" w:h="16838"/>
      <w:pgMar w:top="141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25D8" w14:textId="77777777" w:rsidR="00BE0E5E" w:rsidRDefault="00BE0E5E">
      <w:pPr>
        <w:spacing w:after="0"/>
      </w:pPr>
      <w:r>
        <w:separator/>
      </w:r>
    </w:p>
  </w:endnote>
  <w:endnote w:type="continuationSeparator" w:id="0">
    <w:p w14:paraId="166EA9E2" w14:textId="77777777" w:rsidR="00BE0E5E" w:rsidRDefault="00BE0E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5AE4" w14:textId="77777777" w:rsidR="00E40BC5" w:rsidRDefault="00E40BC5">
    <w:pPr>
      <w:pStyle w:val="Fuzeile"/>
      <w:rPr>
        <w:sz w:val="18"/>
        <w:szCs w:val="18"/>
      </w:rPr>
    </w:pPr>
  </w:p>
  <w:p w14:paraId="12E1F224" w14:textId="77777777" w:rsidR="00E40BC5" w:rsidRDefault="00E40BC5">
    <w:pPr>
      <w:pStyle w:val="Fuzeile"/>
      <w:rPr>
        <w:sz w:val="18"/>
        <w:szCs w:val="18"/>
      </w:rPr>
    </w:pPr>
  </w:p>
  <w:p w14:paraId="46DBCD33" w14:textId="5798903A" w:rsidR="001806B7" w:rsidRDefault="009476F1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AB3819" wp14:editId="1393D6ED">
          <wp:simplePos x="0" y="0"/>
          <wp:positionH relativeFrom="column">
            <wp:posOffset>4845789</wp:posOffset>
          </wp:positionH>
          <wp:positionV relativeFrom="paragraph">
            <wp:posOffset>-353918</wp:posOffset>
          </wp:positionV>
          <wp:extent cx="1157511" cy="686604"/>
          <wp:effectExtent l="0" t="0" r="4539" b="0"/>
          <wp:wrapNone/>
          <wp:docPr id="2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7511" cy="6866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* Wir respektieren und geschlechtliche und sexuelle Vielfalt.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51C3" w14:textId="77777777" w:rsidR="00BE0E5E" w:rsidRDefault="00BE0E5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CE37F47" w14:textId="77777777" w:rsidR="00BE0E5E" w:rsidRDefault="00BE0E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-7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683"/>
      <w:gridCol w:w="2248"/>
    </w:tblGrid>
    <w:tr w:rsidR="001806B7" w14:paraId="6FFEF0F8" w14:textId="77777777">
      <w:tc>
        <w:tcPr>
          <w:tcW w:w="6683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313AE63" w14:textId="77777777" w:rsidR="001806B7" w:rsidRDefault="009476F1">
          <w:pPr>
            <w:pStyle w:val="Kopfzeile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PRESSEMITTEILUNG</w:t>
          </w:r>
        </w:p>
      </w:tc>
      <w:tc>
        <w:tcPr>
          <w:tcW w:w="2248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515CA4E" w14:textId="77777777" w:rsidR="001806B7" w:rsidRDefault="009476F1">
          <w:pPr>
            <w:pStyle w:val="Kopfzeile"/>
            <w:jc w:val="right"/>
          </w:pPr>
          <w:r>
            <w:rPr>
              <w:b/>
              <w:noProof/>
              <w:sz w:val="36"/>
              <w:szCs w:val="36"/>
            </w:rPr>
            <w:drawing>
              <wp:inline distT="0" distB="0" distL="0" distR="0" wp14:anchorId="1D6F6144" wp14:editId="54F330FD">
                <wp:extent cx="1041401" cy="266703"/>
                <wp:effectExtent l="0" t="0" r="6349" b="0"/>
                <wp:docPr id="1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1" cy="266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F43BF" w14:textId="174DC72B" w:rsidR="001806B7" w:rsidRDefault="00D23494">
    <w:pPr>
      <w:pStyle w:val="Kopfzeile"/>
      <w:ind w:left="-170"/>
    </w:pPr>
  </w:p>
  <w:p w14:paraId="1DDE72A6" w14:textId="77777777" w:rsidR="00C222FC" w:rsidRDefault="00C222FC">
    <w:pPr>
      <w:pStyle w:val="Kopfzeile"/>
      <w:ind w:left="-1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6B"/>
    <w:rsid w:val="00086A91"/>
    <w:rsid w:val="000A1E2F"/>
    <w:rsid w:val="000C3A9B"/>
    <w:rsid w:val="000E7B56"/>
    <w:rsid w:val="000F55A7"/>
    <w:rsid w:val="00120394"/>
    <w:rsid w:val="00145678"/>
    <w:rsid w:val="00156A16"/>
    <w:rsid w:val="001631ED"/>
    <w:rsid w:val="00210C3C"/>
    <w:rsid w:val="00293C03"/>
    <w:rsid w:val="00294E13"/>
    <w:rsid w:val="002B451E"/>
    <w:rsid w:val="002B61D3"/>
    <w:rsid w:val="002D4A97"/>
    <w:rsid w:val="002F1F1B"/>
    <w:rsid w:val="00303DF1"/>
    <w:rsid w:val="00330AC1"/>
    <w:rsid w:val="00383235"/>
    <w:rsid w:val="0039777A"/>
    <w:rsid w:val="003A4879"/>
    <w:rsid w:val="003A4A27"/>
    <w:rsid w:val="003C4FC9"/>
    <w:rsid w:val="003E2A0E"/>
    <w:rsid w:val="004018CB"/>
    <w:rsid w:val="00440D65"/>
    <w:rsid w:val="00445638"/>
    <w:rsid w:val="00470210"/>
    <w:rsid w:val="0050572F"/>
    <w:rsid w:val="005211CD"/>
    <w:rsid w:val="005727BB"/>
    <w:rsid w:val="005A519E"/>
    <w:rsid w:val="0066344C"/>
    <w:rsid w:val="00685A7D"/>
    <w:rsid w:val="00697ADE"/>
    <w:rsid w:val="00697B73"/>
    <w:rsid w:val="006D09E9"/>
    <w:rsid w:val="006F40BF"/>
    <w:rsid w:val="007240E5"/>
    <w:rsid w:val="0072762B"/>
    <w:rsid w:val="00740CEC"/>
    <w:rsid w:val="007705F5"/>
    <w:rsid w:val="00784A91"/>
    <w:rsid w:val="00791DE1"/>
    <w:rsid w:val="00796578"/>
    <w:rsid w:val="007B49C7"/>
    <w:rsid w:val="007E7EB4"/>
    <w:rsid w:val="007F6DD7"/>
    <w:rsid w:val="00811E92"/>
    <w:rsid w:val="008B0C34"/>
    <w:rsid w:val="008B7990"/>
    <w:rsid w:val="008D5F5E"/>
    <w:rsid w:val="009335D2"/>
    <w:rsid w:val="009476F1"/>
    <w:rsid w:val="00980FC9"/>
    <w:rsid w:val="00983FF6"/>
    <w:rsid w:val="009C6AF4"/>
    <w:rsid w:val="009E20A2"/>
    <w:rsid w:val="00A01455"/>
    <w:rsid w:val="00A145CA"/>
    <w:rsid w:val="00A20F81"/>
    <w:rsid w:val="00A27939"/>
    <w:rsid w:val="00A30A1E"/>
    <w:rsid w:val="00A455FD"/>
    <w:rsid w:val="00A6513A"/>
    <w:rsid w:val="00A66F94"/>
    <w:rsid w:val="00A81A67"/>
    <w:rsid w:val="00AA7444"/>
    <w:rsid w:val="00B10CF6"/>
    <w:rsid w:val="00B27559"/>
    <w:rsid w:val="00B76428"/>
    <w:rsid w:val="00BA2403"/>
    <w:rsid w:val="00BC595E"/>
    <w:rsid w:val="00BE0E5E"/>
    <w:rsid w:val="00BE7288"/>
    <w:rsid w:val="00C222FC"/>
    <w:rsid w:val="00C330FC"/>
    <w:rsid w:val="00C3395A"/>
    <w:rsid w:val="00C35B6D"/>
    <w:rsid w:val="00C52A0D"/>
    <w:rsid w:val="00C84AA9"/>
    <w:rsid w:val="00C871DD"/>
    <w:rsid w:val="00CC060F"/>
    <w:rsid w:val="00D17B59"/>
    <w:rsid w:val="00D23494"/>
    <w:rsid w:val="00D26322"/>
    <w:rsid w:val="00DB2469"/>
    <w:rsid w:val="00DE50B5"/>
    <w:rsid w:val="00E07EC9"/>
    <w:rsid w:val="00E350C1"/>
    <w:rsid w:val="00E40BC5"/>
    <w:rsid w:val="00E51A9F"/>
    <w:rsid w:val="00E51DFE"/>
    <w:rsid w:val="00E71670"/>
    <w:rsid w:val="00EE2BE9"/>
    <w:rsid w:val="00F06BA3"/>
    <w:rsid w:val="00F11D1D"/>
    <w:rsid w:val="00F5616B"/>
    <w:rsid w:val="00F84525"/>
    <w:rsid w:val="00FA747B"/>
    <w:rsid w:val="00FD21CE"/>
    <w:rsid w:val="00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6A1C"/>
  <w15:docId w15:val="{99CA6997-071F-430F-B7FC-8C1226F8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60"/>
    </w:pPr>
    <w:rPr>
      <w:rFonts w:cs="Times New Roman"/>
      <w:sz w:val="22"/>
      <w:szCs w:val="22"/>
      <w:lang w:eastAsia="en-US"/>
    </w:rPr>
  </w:style>
  <w:style w:type="paragraph" w:styleId="berschrift2">
    <w:name w:val="heading 2"/>
    <w:basedOn w:val="Standard"/>
    <w:uiPriority w:val="9"/>
    <w:semiHidden/>
    <w:unhideWhenUsed/>
    <w:qFormat/>
    <w:pPr>
      <w:spacing w:before="100" w:after="100"/>
      <w:outlineLvl w:val="1"/>
    </w:pPr>
    <w:rPr>
      <w:rFonts w:ascii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rPr>
      <w:rFonts w:ascii="Times New Roman" w:hAnsi="Times New Roman" w:cs="Times New Roman"/>
      <w:b/>
      <w:bCs/>
      <w:sz w:val="36"/>
      <w:szCs w:val="36"/>
      <w:lang w:eastAsia="de-DE"/>
    </w:rPr>
  </w:style>
  <w:style w:type="paragraph" w:styleId="Listenabsatz">
    <w:name w:val="List Paragraph"/>
    <w:basedOn w:val="Standard"/>
    <w:pPr>
      <w:ind w:left="720"/>
    </w:pPr>
  </w:style>
  <w:style w:type="character" w:styleId="Hyperlink">
    <w:name w:val="Hyperlink"/>
    <w:rPr>
      <w:rFonts w:cs="Times New Roman"/>
      <w:color w:val="0563C1"/>
      <w:u w:val="single"/>
    </w:rPr>
  </w:style>
  <w:style w:type="paragraph" w:styleId="NurText">
    <w:name w:val="Plain Text"/>
    <w:basedOn w:val="Standard"/>
    <w:pPr>
      <w:spacing w:after="0"/>
    </w:pPr>
    <w:rPr>
      <w:szCs w:val="21"/>
    </w:rPr>
  </w:style>
  <w:style w:type="character" w:customStyle="1" w:styleId="NurTextZchn">
    <w:name w:val="Nur Text Zchn"/>
    <w:rPr>
      <w:rFonts w:ascii="Calibri" w:hAnsi="Calibri" w:cs="Times New Roman"/>
      <w:sz w:val="21"/>
      <w:szCs w:val="21"/>
    </w:rPr>
  </w:style>
  <w:style w:type="character" w:styleId="BesuchterLink">
    <w:name w:val="FollowedHyperlink"/>
    <w:rPr>
      <w:rFonts w:cs="Times New Roman"/>
      <w:color w:val="954F72"/>
      <w:u w:val="single"/>
    </w:rPr>
  </w:style>
  <w:style w:type="paragraph" w:styleId="KeinLeerraum">
    <w:name w:val="No Spacing"/>
    <w:pPr>
      <w:suppressAutoHyphens/>
    </w:pPr>
    <w:rPr>
      <w:rFonts w:cs="Times New Roman"/>
      <w:sz w:val="22"/>
      <w:szCs w:val="22"/>
      <w:lang w:eastAsia="en-US"/>
    </w:rPr>
  </w:style>
  <w:style w:type="paragraph" w:styleId="Sprechblase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rPr>
      <w:rFonts w:cs="Times New Roman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rPr>
      <w:rFonts w:cs="Times New Roman"/>
    </w:rPr>
  </w:style>
  <w:style w:type="character" w:styleId="Fett">
    <w:name w:val="Strong"/>
    <w:rPr>
      <w:rFonts w:cs="Times New Roman"/>
      <w:b/>
      <w:bCs/>
    </w:rPr>
  </w:style>
  <w:style w:type="character" w:styleId="Kommentarzeichen">
    <w:name w:val="annotation reference"/>
    <w:rPr>
      <w:rFonts w:cs="Times New Roman"/>
      <w:sz w:val="16"/>
      <w:szCs w:val="16"/>
    </w:rPr>
  </w:style>
  <w:style w:type="paragraph" w:styleId="Kommentartext">
    <w:name w:val="annotation text"/>
    <w:basedOn w:val="Standard"/>
    <w:rPr>
      <w:sz w:val="20"/>
      <w:szCs w:val="20"/>
    </w:rPr>
  </w:style>
  <w:style w:type="character" w:customStyle="1" w:styleId="KommentartextZchn">
    <w:name w:val="Kommentartext Zchn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KommentarthemaZchn">
    <w:name w:val="Kommentarthema Zchn"/>
    <w:rPr>
      <w:rFonts w:cs="Times New Roman"/>
      <w:b/>
      <w:bCs/>
      <w:sz w:val="20"/>
      <w:szCs w:val="20"/>
    </w:rPr>
  </w:style>
  <w:style w:type="character" w:styleId="Funotenzeichen">
    <w:name w:val="footnote reference"/>
    <w:rPr>
      <w:rFonts w:cs="Times New Roman"/>
      <w:position w:val="0"/>
      <w:vertAlign w:val="superscript"/>
    </w:rPr>
  </w:style>
  <w:style w:type="character" w:styleId="NichtaufgelsteErwhnung">
    <w:name w:val="Unresolved Mention"/>
    <w:rPr>
      <w:rFonts w:cs="Times New Roman"/>
      <w:color w:val="808080"/>
      <w:shd w:val="clear" w:color="auto" w:fill="E6E6E6"/>
    </w:rPr>
  </w:style>
  <w:style w:type="paragraph" w:styleId="berarbeitung">
    <w:name w:val="Revision"/>
    <w:pPr>
      <w:suppressAutoHyphens/>
    </w:pPr>
    <w:rPr>
      <w:rFonts w:cs="Times New Roman"/>
      <w:sz w:val="22"/>
      <w:szCs w:val="22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871DD"/>
    <w:pPr>
      <w:suppressAutoHyphens w:val="0"/>
      <w:autoSpaceDN/>
      <w:spacing w:after="0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871DD"/>
    <w:rPr>
      <w:rFonts w:asciiTheme="minorHAnsi" w:eastAsiaTheme="minorHAnsi" w:hAnsiTheme="minorHAnsi" w:cstheme="minorBidi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C87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nrico.damme@maennergewaltschutz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ennergewaltschutz.de/statistik-2021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uMaS\Desktop\Nutzung%20MSE%202021_a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ldungsreferent\M&#228;nnerforschung\03%20-%20Themen\01%20Gewalt\MSE\bundesweit\Nutzung%20MSE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178.90\Daten\04.%20Bundesfach-%20und%20Koordinierungsstelle%20M&#228;nnergewaltschutz\13.%20Qualit&#228;tsmanagement\Nutzerstatistik\Nutzung%20MSE%202021_ag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Auswertung!$BM$39:$BM$51</c:f>
              <c:strCache>
                <c:ptCount val="13"/>
                <c:pt idx="0">
                  <c:v>sonstiges</c:v>
                </c:pt>
                <c:pt idx="1">
                  <c:v>Kinder zu weit weg (Sorgerecht)</c:v>
                </c:pt>
                <c:pt idx="2">
                  <c:v>MSE zu nah am Wohnort</c:v>
                </c:pt>
                <c:pt idx="3">
                  <c:v>keine WG gewünscht</c:v>
                </c:pt>
                <c:pt idx="4">
                  <c:v>Gefahr für Sicherheit in MSE</c:v>
                </c:pt>
                <c:pt idx="5">
                  <c:v>Aufenthaltsgesetze</c:v>
                </c:pt>
                <c:pt idx="6">
                  <c:v>finanzielle (Doppel-)Belastung</c:v>
                </c:pt>
                <c:pt idx="7">
                  <c:v>keine häusliche Gewalt</c:v>
                </c:pt>
                <c:pt idx="8">
                  <c:v>Täteranteile</c:v>
                </c:pt>
                <c:pt idx="9">
                  <c:v>Entfernung zur MSE zu groß</c:v>
                </c:pt>
                <c:pt idx="10">
                  <c:v>MSE nicht barrierefrei</c:v>
                </c:pt>
                <c:pt idx="11">
                  <c:v>intensive Betreuung nötig</c:v>
                </c:pt>
                <c:pt idx="12">
                  <c:v>kein freier Platz</c:v>
                </c:pt>
              </c:strCache>
            </c:strRef>
          </c:cat>
          <c:val>
            <c:numRef>
              <c:f>Auswertung!$BN$39:$BN$51</c:f>
              <c:numCache>
                <c:formatCode>0.0%</c:formatCode>
                <c:ptCount val="13"/>
                <c:pt idx="0">
                  <c:v>0.19108280254777071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1.2738853503184714E-2</c:v>
                </c:pt>
                <c:pt idx="5">
                  <c:v>1.2738853503184714E-2</c:v>
                </c:pt>
                <c:pt idx="6">
                  <c:v>1.2738853503184714E-2</c:v>
                </c:pt>
                <c:pt idx="7">
                  <c:v>2.5477707006369428E-2</c:v>
                </c:pt>
                <c:pt idx="8">
                  <c:v>2.5477707006369428E-2</c:v>
                </c:pt>
                <c:pt idx="9">
                  <c:v>3.1847133757961783E-2</c:v>
                </c:pt>
                <c:pt idx="10">
                  <c:v>1.2738853503184714E-2</c:v>
                </c:pt>
                <c:pt idx="11">
                  <c:v>0.14012738853503184</c:v>
                </c:pt>
                <c:pt idx="12">
                  <c:v>0.53503184713375795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0D-4E70-9268-EF722ADF1AE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32269688"/>
        <c:axId val="732271328"/>
      </c:barChart>
      <c:catAx>
        <c:axId val="732269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732271328"/>
        <c:crosses val="autoZero"/>
        <c:auto val="1"/>
        <c:lblAlgn val="ctr"/>
        <c:lblOffset val="100"/>
        <c:noMultiLvlLbl val="0"/>
      </c:catAx>
      <c:valAx>
        <c:axId val="732271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 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732269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FD2-4F26-B2FF-12A5D94152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FD2-4F26-B2FF-12A5D94152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FD2-4F26-B2FF-12A5D94152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FD2-4F26-B2FF-12A5D94152C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FD2-4F26-B2FF-12A5D94152C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FD2-4F26-B2FF-12A5D94152CC}"/>
              </c:ext>
            </c:extLst>
          </c:dPt>
          <c:dLbls>
            <c:dLbl>
              <c:idx val="0"/>
              <c:layout>
                <c:manualLayout>
                  <c:x val="2.4425446874652965E-2"/>
                  <c:y val="-3.1828336020049982E-1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D2-4F26-B2FF-12A5D94152CC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Auswertung!$AD$23:$AD$28</c:f>
              <c:strCache>
                <c:ptCount val="6"/>
                <c:pt idx="0">
                  <c:v>bis 1 Woche</c:v>
                </c:pt>
                <c:pt idx="1">
                  <c:v>bis 1 Monat</c:v>
                </c:pt>
                <c:pt idx="2">
                  <c:v>bis 3 Monate</c:v>
                </c:pt>
                <c:pt idx="3">
                  <c:v>bis 6 Monate</c:v>
                </c:pt>
                <c:pt idx="4">
                  <c:v>bis 1 Jahr</c:v>
                </c:pt>
                <c:pt idx="5">
                  <c:v>über 1 Jahr</c:v>
                </c:pt>
              </c:strCache>
            </c:strRef>
          </c:cat>
          <c:val>
            <c:numRef>
              <c:f>Auswertung!$AE$23:$AE$28</c:f>
              <c:numCache>
                <c:formatCode>General</c:formatCode>
                <c:ptCount val="6"/>
                <c:pt idx="0">
                  <c:v>6</c:v>
                </c:pt>
                <c:pt idx="1">
                  <c:v>13</c:v>
                </c:pt>
                <c:pt idx="2">
                  <c:v>22</c:v>
                </c:pt>
                <c:pt idx="3">
                  <c:v>27</c:v>
                </c:pt>
                <c:pt idx="4">
                  <c:v>11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FD2-4F26-B2FF-12A5D94152C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tx>
            <c:strRef>
              <c:f>Auswertung!$AJ$20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Auswertung!$AK$18:$AO$18</c:f>
              <c:strCache>
                <c:ptCount val="5"/>
                <c:pt idx="0">
                  <c:v>physisch</c:v>
                </c:pt>
                <c:pt idx="1">
                  <c:v>psychisch</c:v>
                </c:pt>
                <c:pt idx="2">
                  <c:v>ökonomisch</c:v>
                </c:pt>
                <c:pt idx="3">
                  <c:v>sozial</c:v>
                </c:pt>
                <c:pt idx="4">
                  <c:v>sexualisiert</c:v>
                </c:pt>
              </c:strCache>
            </c:strRef>
          </c:cat>
          <c:val>
            <c:numRef>
              <c:f>Auswertung!$AK$20:$AO$20</c:f>
              <c:numCache>
                <c:formatCode>0.0%</c:formatCode>
                <c:ptCount val="5"/>
                <c:pt idx="0">
                  <c:v>0.72499999999999998</c:v>
                </c:pt>
                <c:pt idx="1">
                  <c:v>0.86250000000000004</c:v>
                </c:pt>
                <c:pt idx="2">
                  <c:v>0.23749999999999999</c:v>
                </c:pt>
                <c:pt idx="3">
                  <c:v>0.23749999999999999</c:v>
                </c:pt>
                <c:pt idx="4">
                  <c:v>7.4999999999999997E-2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7F-4C4A-800D-AFC74F311F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05763952"/>
        <c:axId val="60576690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Auswertung!$AJ$19</c15:sqref>
                        </c15:formulaRef>
                      </c:ext>
                    </c:extLst>
                    <c:strCache>
                      <c:ptCount val="1"/>
                      <c:pt idx="0">
                        <c:v>SUMME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e-DE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Auswertung!$AK$18:$AO$18</c15:sqref>
                        </c15:formulaRef>
                      </c:ext>
                    </c:extLst>
                    <c:strCache>
                      <c:ptCount val="5"/>
                      <c:pt idx="0">
                        <c:v>physisch</c:v>
                      </c:pt>
                      <c:pt idx="1">
                        <c:v>psychisch</c:v>
                      </c:pt>
                      <c:pt idx="2">
                        <c:v>ökonomisch</c:v>
                      </c:pt>
                      <c:pt idx="3">
                        <c:v>sozial</c:v>
                      </c:pt>
                      <c:pt idx="4">
                        <c:v>sexualisiert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Auswertung!$AK$19:$AO$19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58</c:v>
                      </c:pt>
                      <c:pt idx="1">
                        <c:v>69</c:v>
                      </c:pt>
                      <c:pt idx="2">
                        <c:v>19</c:v>
                      </c:pt>
                      <c:pt idx="3">
                        <c:v>19</c:v>
                      </c:pt>
                      <c:pt idx="4">
                        <c:v>6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CA7F-4C4A-800D-AFC74F311FFE}"/>
                  </c:ext>
                </c:extLst>
              </c15:ser>
            </c15:filteredBarSeries>
          </c:ext>
        </c:extLst>
      </c:barChart>
      <c:catAx>
        <c:axId val="605763952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605766904"/>
        <c:crosses val="autoZero"/>
        <c:auto val="1"/>
        <c:lblAlgn val="ctr"/>
        <c:lblOffset val="100"/>
        <c:noMultiLvlLbl val="0"/>
      </c:catAx>
      <c:valAx>
        <c:axId val="605766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605763952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BFK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9423A"/>
      </a:accent1>
      <a:accent2>
        <a:srgbClr val="004F59"/>
      </a:accent2>
      <a:accent3>
        <a:srgbClr val="666666"/>
      </a:accent3>
      <a:accent4>
        <a:srgbClr val="FD742D"/>
      </a:accent4>
      <a:accent5>
        <a:srgbClr val="E32966"/>
      </a:accent5>
      <a:accent6>
        <a:srgbClr val="05286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E7934-9DA0-4109-B0FC-57F2426F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3171</Characters>
  <Application>Microsoft Office Word</Application>
  <DocSecurity>0</DocSecurity>
  <Lines>62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Damme</dc:creator>
  <dc:description/>
  <cp:lastModifiedBy>Enrico Damme</cp:lastModifiedBy>
  <cp:revision>4</cp:revision>
  <cp:lastPrinted>2023-01-25T07:43:00Z</cp:lastPrinted>
  <dcterms:created xsi:type="dcterms:W3CDTF">2023-01-27T07:57:00Z</dcterms:created>
  <dcterms:modified xsi:type="dcterms:W3CDTF">2023-01-27T10:23:00Z</dcterms:modified>
</cp:coreProperties>
</file>